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AD" w:rsidRPr="00362ACE" w:rsidRDefault="002E6A8D" w:rsidP="007925AD">
      <w:pPr>
        <w:spacing w:after="0" w:line="240" w:lineRule="auto"/>
        <w:jc w:val="center"/>
        <w:rPr>
          <w:rFonts w:cstheme="minorHAnsi"/>
          <w:sz w:val="20"/>
          <w:szCs w:val="20"/>
        </w:rPr>
      </w:pPr>
      <w:r>
        <w:rPr>
          <w:rFonts w:cstheme="minorHAnsi"/>
          <w:sz w:val="20"/>
          <w:szCs w:val="20"/>
        </w:rPr>
        <w:t>EQUALIZATION NOTICE</w:t>
      </w:r>
    </w:p>
    <w:p w:rsidR="007925AD" w:rsidRPr="00362ACE" w:rsidRDefault="007925AD" w:rsidP="007925AD">
      <w:pPr>
        <w:pStyle w:val="BodyText2"/>
        <w:spacing w:after="0" w:line="240" w:lineRule="auto"/>
        <w:rPr>
          <w:rFonts w:cstheme="minorHAnsi"/>
          <w:bCs/>
          <w:sz w:val="20"/>
          <w:szCs w:val="20"/>
        </w:rPr>
      </w:pPr>
    </w:p>
    <w:p w:rsidR="007925AD" w:rsidRPr="00362ACE" w:rsidRDefault="007925AD" w:rsidP="007925AD">
      <w:pPr>
        <w:pStyle w:val="BodyText2"/>
        <w:spacing w:after="0" w:line="240" w:lineRule="auto"/>
        <w:rPr>
          <w:rFonts w:cstheme="minorHAnsi"/>
          <w:b/>
          <w:bCs/>
          <w:sz w:val="20"/>
          <w:szCs w:val="20"/>
        </w:rPr>
      </w:pPr>
      <w:r w:rsidRPr="00362ACE">
        <w:rPr>
          <w:rFonts w:cstheme="minorHAnsi"/>
          <w:bCs/>
          <w:sz w:val="20"/>
          <w:szCs w:val="20"/>
        </w:rPr>
        <w:t xml:space="preserve">PUBLIC NOTICE is hereby given that the Iowa Department of Revenue of the State of Iowa has notified the </w:t>
      </w:r>
      <w:r w:rsidR="00857875">
        <w:rPr>
          <w:rFonts w:cstheme="minorHAnsi"/>
          <w:bCs/>
          <w:sz w:val="20"/>
          <w:szCs w:val="20"/>
        </w:rPr>
        <w:t>Appanoose</w:t>
      </w:r>
      <w:r w:rsidRPr="00362ACE">
        <w:rPr>
          <w:rFonts w:cstheme="minorHAnsi"/>
          <w:bCs/>
          <w:sz w:val="20"/>
          <w:szCs w:val="20"/>
        </w:rPr>
        <w:t xml:space="preserve"> County Auditor of the following final percentage adjustments to the 2021 valuations of real property within </w:t>
      </w:r>
      <w:r w:rsidR="00857875">
        <w:rPr>
          <w:rFonts w:cstheme="minorHAnsi"/>
          <w:bCs/>
          <w:sz w:val="20"/>
          <w:szCs w:val="20"/>
        </w:rPr>
        <w:t>Appanoose</w:t>
      </w:r>
      <w:r w:rsidRPr="00362ACE">
        <w:rPr>
          <w:rFonts w:cstheme="minorHAnsi"/>
          <w:bCs/>
          <w:sz w:val="20"/>
          <w:szCs w:val="20"/>
        </w:rPr>
        <w:t xml:space="preserve"> County, pursuant to Iowa Code Section 441.49, as follows:</w:t>
      </w:r>
    </w:p>
    <w:p w:rsidR="00BD33B6" w:rsidRPr="00362ACE" w:rsidRDefault="00BD33B6" w:rsidP="007569DB">
      <w:pPr>
        <w:spacing w:after="0" w:line="240" w:lineRule="auto"/>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425"/>
      </w:tblGrid>
      <w:tr w:rsidR="00DB5898" w:rsidRPr="00362ACE" w:rsidTr="00DB5898">
        <w:trPr>
          <w:trHeight w:val="665"/>
        </w:trPr>
        <w:tc>
          <w:tcPr>
            <w:tcW w:w="6925" w:type="dxa"/>
          </w:tcPr>
          <w:p w:rsidR="009C12DD" w:rsidRPr="00362ACE" w:rsidRDefault="009C12DD" w:rsidP="007569DB">
            <w:pPr>
              <w:rPr>
                <w:rFonts w:cstheme="minorHAnsi"/>
                <w:sz w:val="20"/>
                <w:szCs w:val="20"/>
              </w:rPr>
            </w:pPr>
            <w:r w:rsidRPr="00362ACE">
              <w:rPr>
                <w:rFonts w:cstheme="minorHAnsi"/>
                <w:sz w:val="20"/>
                <w:szCs w:val="20"/>
              </w:rPr>
              <w:t>Agricultural Land &amp; Structures, Excluding Residential Dwellings, On Agricultural Realty, Outside And Within Incorporated Cities</w:t>
            </w:r>
          </w:p>
        </w:tc>
        <w:tc>
          <w:tcPr>
            <w:tcW w:w="2425" w:type="dxa"/>
          </w:tcPr>
          <w:p w:rsidR="009C12DD" w:rsidRPr="00362ACE" w:rsidRDefault="00731B53" w:rsidP="00857875">
            <w:pPr>
              <w:rPr>
                <w:rFonts w:cstheme="minorHAnsi"/>
                <w:sz w:val="20"/>
                <w:szCs w:val="20"/>
              </w:rPr>
            </w:pPr>
            <w:r w:rsidRPr="00362ACE">
              <w:rPr>
                <w:rFonts w:cstheme="minorHAnsi"/>
                <w:sz w:val="20"/>
                <w:szCs w:val="20"/>
              </w:rPr>
              <w:t xml:space="preserve">Decrease </w:t>
            </w:r>
            <w:r w:rsidR="00857875">
              <w:rPr>
                <w:rFonts w:cstheme="minorHAnsi"/>
                <w:sz w:val="20"/>
                <w:szCs w:val="20"/>
              </w:rPr>
              <w:t>6</w:t>
            </w:r>
            <w:r w:rsidRPr="00362ACE">
              <w:rPr>
                <w:rFonts w:cstheme="minorHAnsi"/>
                <w:sz w:val="20"/>
                <w:szCs w:val="20"/>
              </w:rPr>
              <w:t>%</w:t>
            </w:r>
          </w:p>
        </w:tc>
      </w:tr>
      <w:tr w:rsidR="00DB5898" w:rsidRPr="00362ACE" w:rsidTr="00DB5898">
        <w:trPr>
          <w:trHeight w:val="665"/>
        </w:trPr>
        <w:tc>
          <w:tcPr>
            <w:tcW w:w="6925" w:type="dxa"/>
          </w:tcPr>
          <w:p w:rsidR="009C12DD" w:rsidRPr="00362ACE" w:rsidRDefault="009C12DD" w:rsidP="007569DB">
            <w:pPr>
              <w:rPr>
                <w:rFonts w:cstheme="minorHAnsi"/>
                <w:sz w:val="20"/>
                <w:szCs w:val="20"/>
              </w:rPr>
            </w:pPr>
            <w:r w:rsidRPr="00362ACE">
              <w:rPr>
                <w:rFonts w:cstheme="minorHAnsi"/>
                <w:sz w:val="20"/>
                <w:szCs w:val="20"/>
              </w:rPr>
              <w:t>Residential Realty, Including Residential Dwellings On Agricultural Realty, Outside and Within Incorporated Cities</w:t>
            </w:r>
          </w:p>
        </w:tc>
        <w:tc>
          <w:tcPr>
            <w:tcW w:w="2425" w:type="dxa"/>
          </w:tcPr>
          <w:p w:rsidR="009C12DD" w:rsidRPr="00362ACE" w:rsidRDefault="00731B53" w:rsidP="007569DB">
            <w:pPr>
              <w:rPr>
                <w:rFonts w:cstheme="minorHAnsi"/>
                <w:sz w:val="20"/>
                <w:szCs w:val="20"/>
              </w:rPr>
            </w:pPr>
            <w:r w:rsidRPr="00362ACE">
              <w:rPr>
                <w:rFonts w:cstheme="minorHAnsi"/>
                <w:sz w:val="20"/>
                <w:szCs w:val="20"/>
              </w:rPr>
              <w:t>No adjustment</w:t>
            </w:r>
          </w:p>
        </w:tc>
      </w:tr>
      <w:tr w:rsidR="00DB5898" w:rsidRPr="00362ACE" w:rsidTr="00DB5898">
        <w:trPr>
          <w:trHeight w:val="665"/>
        </w:trPr>
        <w:tc>
          <w:tcPr>
            <w:tcW w:w="6925" w:type="dxa"/>
          </w:tcPr>
          <w:p w:rsidR="009C12DD" w:rsidRPr="00362ACE" w:rsidRDefault="009C12DD" w:rsidP="007569DB">
            <w:pPr>
              <w:rPr>
                <w:rFonts w:cstheme="minorHAnsi"/>
                <w:sz w:val="20"/>
                <w:szCs w:val="20"/>
              </w:rPr>
            </w:pPr>
            <w:r w:rsidRPr="00362ACE">
              <w:rPr>
                <w:rFonts w:cstheme="minorHAnsi"/>
                <w:sz w:val="20"/>
                <w:szCs w:val="20"/>
              </w:rPr>
              <w:t>Commercial Realty, Excluding Machinery and Equipment Referred to in Chapter 427A, Outside and Within Incorporated Cities</w:t>
            </w:r>
          </w:p>
        </w:tc>
        <w:tc>
          <w:tcPr>
            <w:tcW w:w="2425" w:type="dxa"/>
          </w:tcPr>
          <w:p w:rsidR="009C12DD" w:rsidRPr="00362ACE" w:rsidRDefault="00731B53" w:rsidP="007569DB">
            <w:pPr>
              <w:rPr>
                <w:rFonts w:cstheme="minorHAnsi"/>
                <w:sz w:val="20"/>
                <w:szCs w:val="20"/>
              </w:rPr>
            </w:pPr>
            <w:r w:rsidRPr="00362ACE">
              <w:rPr>
                <w:rFonts w:cstheme="minorHAnsi"/>
                <w:sz w:val="20"/>
                <w:szCs w:val="20"/>
              </w:rPr>
              <w:t>No adjustment</w:t>
            </w:r>
          </w:p>
        </w:tc>
      </w:tr>
      <w:tr w:rsidR="00DB5898" w:rsidRPr="00362ACE" w:rsidTr="00DB5898">
        <w:trPr>
          <w:trHeight w:val="665"/>
        </w:trPr>
        <w:tc>
          <w:tcPr>
            <w:tcW w:w="6925" w:type="dxa"/>
          </w:tcPr>
          <w:p w:rsidR="009C12DD" w:rsidRPr="00362ACE" w:rsidRDefault="00731B53" w:rsidP="007569DB">
            <w:pPr>
              <w:rPr>
                <w:rFonts w:cstheme="minorHAnsi"/>
                <w:sz w:val="20"/>
                <w:szCs w:val="20"/>
              </w:rPr>
            </w:pPr>
            <w:proofErr w:type="spellStart"/>
            <w:r w:rsidRPr="00362ACE">
              <w:rPr>
                <w:rFonts w:cstheme="minorHAnsi"/>
                <w:sz w:val="20"/>
                <w:szCs w:val="20"/>
              </w:rPr>
              <w:t>Multiresidential</w:t>
            </w:r>
            <w:proofErr w:type="spellEnd"/>
            <w:r w:rsidRPr="00362ACE">
              <w:rPr>
                <w:rFonts w:cstheme="minorHAnsi"/>
                <w:sz w:val="20"/>
                <w:szCs w:val="20"/>
              </w:rPr>
              <w:t xml:space="preserve"> Realty, Excluding Equipment Referred to in Chapter 427A, Outside and Within Incorporated Cities</w:t>
            </w:r>
          </w:p>
        </w:tc>
        <w:tc>
          <w:tcPr>
            <w:tcW w:w="2425" w:type="dxa"/>
          </w:tcPr>
          <w:p w:rsidR="009C12DD" w:rsidRPr="00362ACE" w:rsidRDefault="00731B53" w:rsidP="007569DB">
            <w:pPr>
              <w:rPr>
                <w:rFonts w:cstheme="minorHAnsi"/>
                <w:sz w:val="20"/>
                <w:szCs w:val="20"/>
              </w:rPr>
            </w:pPr>
            <w:r w:rsidRPr="00362ACE">
              <w:rPr>
                <w:rFonts w:cstheme="minorHAnsi"/>
                <w:sz w:val="20"/>
                <w:szCs w:val="20"/>
              </w:rPr>
              <w:t>No adjustment</w:t>
            </w:r>
          </w:p>
        </w:tc>
      </w:tr>
    </w:tbl>
    <w:p w:rsidR="007569DB" w:rsidRPr="00362ACE" w:rsidRDefault="007569DB" w:rsidP="00DB5898">
      <w:pPr>
        <w:spacing w:after="0" w:line="240" w:lineRule="auto"/>
        <w:rPr>
          <w:rFonts w:cstheme="minorHAnsi"/>
          <w:sz w:val="20"/>
          <w:szCs w:val="20"/>
        </w:rPr>
      </w:pPr>
    </w:p>
    <w:p w:rsidR="007569DB" w:rsidRPr="00362ACE" w:rsidRDefault="007569DB" w:rsidP="00DB5898">
      <w:pPr>
        <w:spacing w:after="0" w:line="240" w:lineRule="auto"/>
        <w:rPr>
          <w:rFonts w:cstheme="minorHAnsi"/>
          <w:sz w:val="20"/>
          <w:szCs w:val="20"/>
        </w:rPr>
      </w:pPr>
      <w:r w:rsidRPr="00362ACE">
        <w:rPr>
          <w:rFonts w:cstheme="minorHAnsi"/>
          <w:sz w:val="20"/>
          <w:szCs w:val="20"/>
        </w:rPr>
        <w:t xml:space="preserve">The </w:t>
      </w:r>
      <w:r w:rsidR="00857875">
        <w:rPr>
          <w:rFonts w:cstheme="minorHAnsi"/>
          <w:sz w:val="20"/>
          <w:szCs w:val="20"/>
        </w:rPr>
        <w:t>Appanoose</w:t>
      </w:r>
      <w:r w:rsidRPr="00362ACE">
        <w:rPr>
          <w:rFonts w:cstheme="minorHAnsi"/>
          <w:sz w:val="20"/>
          <w:szCs w:val="20"/>
        </w:rPr>
        <w:t xml:space="preserve"> County Assessor has requested and has received authorization to utilize an alternative method of implementing the above listed 2021 equalization order to the following class of property:</w:t>
      </w:r>
    </w:p>
    <w:p w:rsidR="00DB5898" w:rsidRPr="00362ACE" w:rsidRDefault="00DB5898" w:rsidP="00DB5898">
      <w:pPr>
        <w:spacing w:after="0" w:line="240" w:lineRule="auto"/>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425"/>
      </w:tblGrid>
      <w:tr w:rsidR="00DB5898" w:rsidRPr="00362ACE" w:rsidTr="00DB5898">
        <w:trPr>
          <w:trHeight w:val="665"/>
        </w:trPr>
        <w:tc>
          <w:tcPr>
            <w:tcW w:w="6925" w:type="dxa"/>
          </w:tcPr>
          <w:p w:rsidR="007569DB" w:rsidRPr="00362ACE" w:rsidRDefault="007569DB" w:rsidP="00DB5898">
            <w:pPr>
              <w:rPr>
                <w:rFonts w:cstheme="minorHAnsi"/>
                <w:sz w:val="20"/>
                <w:szCs w:val="20"/>
              </w:rPr>
            </w:pPr>
            <w:r w:rsidRPr="00362ACE">
              <w:rPr>
                <w:rFonts w:cstheme="minorHAnsi"/>
                <w:sz w:val="20"/>
                <w:szCs w:val="20"/>
              </w:rPr>
              <w:t>Agricultural Land &amp; Structures, Excluding Residential Dwellings, On Agricultural Realty, Outside And Within Incorporated Cities</w:t>
            </w:r>
          </w:p>
        </w:tc>
        <w:tc>
          <w:tcPr>
            <w:tcW w:w="2425" w:type="dxa"/>
          </w:tcPr>
          <w:p w:rsidR="00DB5898" w:rsidRPr="00362ACE" w:rsidRDefault="00DB5898" w:rsidP="00DB5898">
            <w:pPr>
              <w:rPr>
                <w:rFonts w:cstheme="minorHAnsi"/>
                <w:sz w:val="20"/>
                <w:szCs w:val="20"/>
              </w:rPr>
            </w:pPr>
            <w:r w:rsidRPr="00362ACE">
              <w:rPr>
                <w:rFonts w:cstheme="minorHAnsi"/>
                <w:sz w:val="20"/>
                <w:szCs w:val="20"/>
              </w:rPr>
              <w:t xml:space="preserve">Decrease Land </w:t>
            </w:r>
            <w:r w:rsidR="00857875">
              <w:rPr>
                <w:rFonts w:cstheme="minorHAnsi"/>
                <w:sz w:val="20"/>
                <w:szCs w:val="20"/>
              </w:rPr>
              <w:t>6</w:t>
            </w:r>
            <w:r w:rsidRPr="00362ACE">
              <w:rPr>
                <w:rFonts w:cstheme="minorHAnsi"/>
                <w:sz w:val="20"/>
                <w:szCs w:val="20"/>
              </w:rPr>
              <w:t>.</w:t>
            </w:r>
            <w:r w:rsidR="00857875">
              <w:rPr>
                <w:rFonts w:cstheme="minorHAnsi"/>
                <w:sz w:val="20"/>
                <w:szCs w:val="20"/>
              </w:rPr>
              <w:t>25</w:t>
            </w:r>
            <w:r w:rsidRPr="00362ACE">
              <w:rPr>
                <w:rFonts w:cstheme="minorHAnsi"/>
                <w:sz w:val="20"/>
                <w:szCs w:val="20"/>
              </w:rPr>
              <w:t>%</w:t>
            </w:r>
          </w:p>
          <w:p w:rsidR="007569DB" w:rsidRPr="00362ACE" w:rsidRDefault="007569DB" w:rsidP="00DB5898">
            <w:pPr>
              <w:rPr>
                <w:rFonts w:cstheme="minorHAnsi"/>
                <w:sz w:val="20"/>
                <w:szCs w:val="20"/>
              </w:rPr>
            </w:pPr>
            <w:r w:rsidRPr="00362ACE">
              <w:rPr>
                <w:rFonts w:cstheme="minorHAnsi"/>
                <w:sz w:val="20"/>
                <w:szCs w:val="20"/>
              </w:rPr>
              <w:t xml:space="preserve">Decrease </w:t>
            </w:r>
            <w:r w:rsidR="00DB5898" w:rsidRPr="00362ACE">
              <w:rPr>
                <w:rFonts w:cstheme="minorHAnsi"/>
                <w:sz w:val="20"/>
                <w:szCs w:val="20"/>
              </w:rPr>
              <w:t>Structures</w:t>
            </w:r>
            <w:r w:rsidRPr="00362ACE">
              <w:rPr>
                <w:rFonts w:cstheme="minorHAnsi"/>
                <w:sz w:val="20"/>
                <w:szCs w:val="20"/>
              </w:rPr>
              <w:t xml:space="preserve"> 0%</w:t>
            </w:r>
          </w:p>
          <w:p w:rsidR="007569DB" w:rsidRPr="00362ACE" w:rsidRDefault="007569DB" w:rsidP="00DB5898">
            <w:pPr>
              <w:rPr>
                <w:rFonts w:cstheme="minorHAnsi"/>
                <w:sz w:val="20"/>
                <w:szCs w:val="20"/>
              </w:rPr>
            </w:pPr>
          </w:p>
        </w:tc>
      </w:tr>
    </w:tbl>
    <w:p w:rsidR="00BD33B6" w:rsidRPr="00362ACE" w:rsidRDefault="00BD33B6" w:rsidP="00DB5898">
      <w:pPr>
        <w:pStyle w:val="BodyText"/>
        <w:ind w:right="-18"/>
        <w:rPr>
          <w:rFonts w:asciiTheme="minorHAnsi" w:hAnsiTheme="minorHAnsi" w:cstheme="minorHAnsi"/>
          <w:b w:val="0"/>
          <w:bCs/>
          <w:sz w:val="22"/>
          <w:szCs w:val="22"/>
        </w:rPr>
      </w:pPr>
      <w:r w:rsidRPr="00362ACE">
        <w:rPr>
          <w:rFonts w:asciiTheme="minorHAnsi" w:hAnsiTheme="minorHAnsi" w:cstheme="minorHAnsi"/>
          <w:b w:val="0"/>
          <w:bCs/>
          <w:sz w:val="22"/>
          <w:szCs w:val="22"/>
        </w:rPr>
        <w:t xml:space="preserve">Assessed values are equalized by the Department of Revenue every two years.  Local taxing authorities determine the final tax levies and may reduce property tax rates to compensate for any increase in valuation due to equalization.  If you are not satisfied that your assessment as adjusted by the equalization order is correct, you may file a protest against such assessment with the </w:t>
      </w:r>
      <w:r w:rsidR="00857875">
        <w:rPr>
          <w:rFonts w:asciiTheme="minorHAnsi" w:hAnsiTheme="minorHAnsi" w:cstheme="minorHAnsi"/>
          <w:b w:val="0"/>
          <w:bCs/>
          <w:sz w:val="22"/>
          <w:szCs w:val="22"/>
        </w:rPr>
        <w:t>Appanoose</w:t>
      </w:r>
      <w:r w:rsidR="00DB5898" w:rsidRPr="00362ACE">
        <w:rPr>
          <w:rFonts w:asciiTheme="minorHAnsi" w:hAnsiTheme="minorHAnsi" w:cstheme="minorHAnsi"/>
          <w:b w:val="0"/>
          <w:bCs/>
          <w:sz w:val="22"/>
          <w:szCs w:val="22"/>
        </w:rPr>
        <w:t xml:space="preserve"> County </w:t>
      </w:r>
      <w:r w:rsidRPr="00362ACE">
        <w:rPr>
          <w:rFonts w:asciiTheme="minorHAnsi" w:hAnsiTheme="minorHAnsi" w:cstheme="minorHAnsi"/>
          <w:b w:val="0"/>
          <w:bCs/>
          <w:sz w:val="22"/>
          <w:szCs w:val="22"/>
        </w:rPr>
        <w:t xml:space="preserve">Board of Review </w:t>
      </w:r>
      <w:r w:rsidR="00DB5898" w:rsidRPr="00362ACE">
        <w:rPr>
          <w:rFonts w:asciiTheme="minorHAnsi" w:hAnsiTheme="minorHAnsi" w:cstheme="minorHAnsi"/>
          <w:b w:val="0"/>
          <w:bCs/>
          <w:sz w:val="22"/>
          <w:szCs w:val="22"/>
        </w:rPr>
        <w:t xml:space="preserve">(C/O </w:t>
      </w:r>
      <w:r w:rsidR="00857875">
        <w:rPr>
          <w:rFonts w:asciiTheme="minorHAnsi" w:hAnsiTheme="minorHAnsi" w:cstheme="minorHAnsi"/>
          <w:b w:val="0"/>
          <w:bCs/>
          <w:sz w:val="22"/>
          <w:szCs w:val="22"/>
        </w:rPr>
        <w:t>Appanoose</w:t>
      </w:r>
      <w:r w:rsidR="00DB5898" w:rsidRPr="00362ACE">
        <w:rPr>
          <w:rFonts w:asciiTheme="minorHAnsi" w:hAnsiTheme="minorHAnsi" w:cstheme="minorHAnsi"/>
          <w:b w:val="0"/>
          <w:bCs/>
          <w:sz w:val="22"/>
          <w:szCs w:val="22"/>
        </w:rPr>
        <w:t xml:space="preserve"> County Assessor) </w:t>
      </w:r>
      <w:r w:rsidRPr="00362ACE">
        <w:rPr>
          <w:rFonts w:asciiTheme="minorHAnsi" w:hAnsiTheme="minorHAnsi" w:cstheme="minorHAnsi"/>
          <w:b w:val="0"/>
          <w:bCs/>
          <w:sz w:val="22"/>
          <w:szCs w:val="22"/>
        </w:rPr>
        <w:t>on or after October 9,</w:t>
      </w:r>
      <w:r w:rsidR="00DB5898" w:rsidRPr="00362ACE">
        <w:rPr>
          <w:rFonts w:asciiTheme="minorHAnsi" w:hAnsiTheme="minorHAnsi" w:cstheme="minorHAnsi"/>
          <w:b w:val="0"/>
          <w:bCs/>
          <w:sz w:val="22"/>
          <w:szCs w:val="22"/>
        </w:rPr>
        <w:t xml:space="preserve"> 2021</w:t>
      </w:r>
      <w:r w:rsidRPr="00362ACE">
        <w:rPr>
          <w:rFonts w:asciiTheme="minorHAnsi" w:hAnsiTheme="minorHAnsi" w:cstheme="minorHAnsi"/>
          <w:b w:val="0"/>
          <w:bCs/>
          <w:sz w:val="22"/>
          <w:szCs w:val="22"/>
        </w:rPr>
        <w:t xml:space="preserve"> to and including October 31</w:t>
      </w:r>
      <w:r w:rsidR="00DB5898" w:rsidRPr="00362ACE">
        <w:rPr>
          <w:rFonts w:asciiTheme="minorHAnsi" w:hAnsiTheme="minorHAnsi" w:cstheme="minorHAnsi"/>
          <w:b w:val="0"/>
          <w:bCs/>
          <w:sz w:val="22"/>
          <w:szCs w:val="22"/>
        </w:rPr>
        <w:t>, 2021.</w:t>
      </w:r>
    </w:p>
    <w:p w:rsidR="00BD33B6" w:rsidRPr="00362ACE" w:rsidRDefault="00BD33B6" w:rsidP="00DB5898">
      <w:pPr>
        <w:spacing w:after="0" w:line="240" w:lineRule="auto"/>
        <w:ind w:right="-18"/>
        <w:jc w:val="both"/>
        <w:rPr>
          <w:rFonts w:cstheme="minorHAnsi"/>
          <w:bCs/>
          <w:sz w:val="20"/>
          <w:szCs w:val="20"/>
        </w:rPr>
      </w:pPr>
    </w:p>
    <w:p w:rsidR="00362ACE" w:rsidRPr="00362ACE" w:rsidRDefault="00362ACE" w:rsidP="00DB5898">
      <w:pPr>
        <w:spacing w:after="0" w:line="240" w:lineRule="auto"/>
        <w:ind w:right="-18"/>
        <w:jc w:val="both"/>
        <w:rPr>
          <w:rFonts w:cstheme="minorHAnsi"/>
          <w:sz w:val="20"/>
          <w:szCs w:val="20"/>
        </w:rPr>
      </w:pPr>
      <w:r w:rsidRPr="00362ACE">
        <w:rPr>
          <w:rFonts w:cstheme="minorHAnsi"/>
          <w:sz w:val="20"/>
          <w:szCs w:val="20"/>
        </w:rPr>
        <w:t xml:space="preserve">If you have questions or </w:t>
      </w:r>
      <w:r>
        <w:rPr>
          <w:rFonts w:cstheme="minorHAnsi"/>
          <w:sz w:val="20"/>
          <w:szCs w:val="20"/>
        </w:rPr>
        <w:t>want</w:t>
      </w:r>
      <w:r w:rsidRPr="00362ACE">
        <w:rPr>
          <w:rFonts w:cstheme="minorHAnsi"/>
          <w:sz w:val="20"/>
          <w:szCs w:val="20"/>
        </w:rPr>
        <w:t xml:space="preserve"> an appeal form, contact the </w:t>
      </w:r>
      <w:r w:rsidR="00857875">
        <w:rPr>
          <w:rFonts w:cstheme="minorHAnsi"/>
          <w:sz w:val="20"/>
          <w:szCs w:val="20"/>
        </w:rPr>
        <w:t>Appanoose</w:t>
      </w:r>
      <w:r w:rsidRPr="00362ACE">
        <w:rPr>
          <w:rFonts w:cstheme="minorHAnsi"/>
          <w:sz w:val="20"/>
          <w:szCs w:val="20"/>
        </w:rPr>
        <w:t xml:space="preserve"> County Assessor’s Office at (</w:t>
      </w:r>
      <w:r w:rsidR="00857875">
        <w:rPr>
          <w:rFonts w:cstheme="minorHAnsi"/>
          <w:sz w:val="20"/>
          <w:szCs w:val="20"/>
        </w:rPr>
        <w:t>641</w:t>
      </w:r>
      <w:r w:rsidRPr="00362ACE">
        <w:rPr>
          <w:rFonts w:cstheme="minorHAnsi"/>
          <w:sz w:val="20"/>
          <w:szCs w:val="20"/>
        </w:rPr>
        <w:t xml:space="preserve">) </w:t>
      </w:r>
      <w:r w:rsidR="00857875">
        <w:rPr>
          <w:rFonts w:cstheme="minorHAnsi"/>
          <w:sz w:val="20"/>
          <w:szCs w:val="20"/>
        </w:rPr>
        <w:t>437-4529</w:t>
      </w:r>
      <w:bookmarkStart w:id="0" w:name="_GoBack"/>
      <w:bookmarkEnd w:id="0"/>
      <w:r w:rsidRPr="00362ACE">
        <w:rPr>
          <w:rFonts w:cstheme="minorHAnsi"/>
          <w:sz w:val="20"/>
          <w:szCs w:val="20"/>
        </w:rPr>
        <w:t>.</w:t>
      </w:r>
    </w:p>
    <w:p w:rsidR="00362ACE" w:rsidRPr="00362ACE" w:rsidRDefault="00362ACE" w:rsidP="00DB5898">
      <w:pPr>
        <w:spacing w:after="0" w:line="240" w:lineRule="auto"/>
        <w:ind w:right="-18"/>
        <w:jc w:val="both"/>
        <w:rPr>
          <w:rFonts w:cstheme="minorHAnsi"/>
          <w:bCs/>
          <w:sz w:val="20"/>
          <w:szCs w:val="20"/>
        </w:rPr>
      </w:pPr>
    </w:p>
    <w:p w:rsidR="00DB5898" w:rsidRDefault="00987E28" w:rsidP="00DB5898">
      <w:pPr>
        <w:spacing w:after="0" w:line="240" w:lineRule="auto"/>
        <w:ind w:right="-18"/>
        <w:jc w:val="both"/>
        <w:rPr>
          <w:rFonts w:cstheme="minorHAnsi"/>
          <w:bCs/>
          <w:sz w:val="20"/>
          <w:szCs w:val="20"/>
        </w:rPr>
      </w:pPr>
      <w:r>
        <w:rPr>
          <w:rFonts w:cstheme="minorHAnsi"/>
          <w:bCs/>
          <w:sz w:val="20"/>
          <w:szCs w:val="20"/>
        </w:rPr>
        <w:t xml:space="preserve">/s/ </w:t>
      </w:r>
      <w:r w:rsidR="00857875">
        <w:rPr>
          <w:rFonts w:cstheme="minorHAnsi"/>
          <w:bCs/>
          <w:sz w:val="20"/>
          <w:szCs w:val="20"/>
        </w:rPr>
        <w:t>Kelly Howard</w:t>
      </w:r>
      <w:r>
        <w:rPr>
          <w:rFonts w:cstheme="minorHAnsi"/>
          <w:bCs/>
          <w:sz w:val="20"/>
          <w:szCs w:val="20"/>
        </w:rPr>
        <w:t xml:space="preserve">, </w:t>
      </w:r>
      <w:r w:rsidR="00857875">
        <w:rPr>
          <w:rFonts w:cstheme="minorHAnsi"/>
          <w:bCs/>
          <w:sz w:val="20"/>
          <w:szCs w:val="20"/>
        </w:rPr>
        <w:t>Appanoose</w:t>
      </w:r>
      <w:r w:rsidR="00DB5898" w:rsidRPr="00362ACE">
        <w:rPr>
          <w:rFonts w:cstheme="minorHAnsi"/>
          <w:bCs/>
          <w:sz w:val="20"/>
          <w:szCs w:val="20"/>
        </w:rPr>
        <w:t xml:space="preserve"> County Auditor</w:t>
      </w:r>
    </w:p>
    <w:p w:rsidR="00987E28" w:rsidRDefault="00987E28" w:rsidP="00DB5898">
      <w:pPr>
        <w:spacing w:after="0" w:line="240" w:lineRule="auto"/>
        <w:ind w:right="-18"/>
        <w:jc w:val="both"/>
        <w:rPr>
          <w:rFonts w:cstheme="minorHAnsi"/>
          <w:bCs/>
          <w:sz w:val="20"/>
          <w:szCs w:val="20"/>
        </w:rPr>
      </w:pPr>
      <w:r>
        <w:rPr>
          <w:rFonts w:cstheme="minorHAnsi"/>
          <w:bCs/>
          <w:sz w:val="20"/>
          <w:szCs w:val="20"/>
        </w:rPr>
        <w:t xml:space="preserve">Dated: </w:t>
      </w:r>
      <w:r w:rsidR="00857875">
        <w:rPr>
          <w:rFonts w:cstheme="minorHAnsi"/>
          <w:bCs/>
          <w:sz w:val="20"/>
          <w:szCs w:val="20"/>
        </w:rPr>
        <w:t>September 29</w:t>
      </w:r>
      <w:r>
        <w:rPr>
          <w:rFonts w:cstheme="minorHAnsi"/>
          <w:bCs/>
          <w:sz w:val="20"/>
          <w:szCs w:val="20"/>
        </w:rPr>
        <w:t>, 2021</w:t>
      </w:r>
    </w:p>
    <w:p w:rsidR="00987E28" w:rsidRPr="00362ACE" w:rsidRDefault="00987E28" w:rsidP="00DB5898">
      <w:pPr>
        <w:spacing w:after="0" w:line="240" w:lineRule="auto"/>
        <w:ind w:right="-18"/>
        <w:jc w:val="both"/>
        <w:rPr>
          <w:rFonts w:cstheme="minorHAnsi"/>
          <w:bCs/>
          <w:sz w:val="20"/>
          <w:szCs w:val="20"/>
        </w:rPr>
      </w:pPr>
    </w:p>
    <w:p w:rsidR="00BD33B6" w:rsidRPr="00362ACE" w:rsidRDefault="00BD33B6">
      <w:pPr>
        <w:rPr>
          <w:rFonts w:cstheme="minorHAnsi"/>
          <w:color w:val="FF0000"/>
          <w:sz w:val="20"/>
          <w:szCs w:val="20"/>
        </w:rPr>
      </w:pPr>
    </w:p>
    <w:p w:rsidR="00362ACE" w:rsidRPr="00362ACE" w:rsidRDefault="00362ACE">
      <w:pPr>
        <w:rPr>
          <w:rFonts w:cstheme="minorHAnsi"/>
          <w:color w:val="FF0000"/>
          <w:sz w:val="20"/>
          <w:szCs w:val="20"/>
        </w:rPr>
      </w:pPr>
    </w:p>
    <w:sectPr w:rsidR="00362ACE" w:rsidRPr="00362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6"/>
    <w:rsid w:val="002E6A8D"/>
    <w:rsid w:val="00362ACE"/>
    <w:rsid w:val="00383390"/>
    <w:rsid w:val="004E244E"/>
    <w:rsid w:val="00697DA1"/>
    <w:rsid w:val="00731B53"/>
    <w:rsid w:val="007569DB"/>
    <w:rsid w:val="007925AD"/>
    <w:rsid w:val="00857875"/>
    <w:rsid w:val="00987E28"/>
    <w:rsid w:val="009C12DD"/>
    <w:rsid w:val="00BD33B6"/>
    <w:rsid w:val="00DB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7C19"/>
  <w15:chartTrackingRefBased/>
  <w15:docId w15:val="{C87AA9E5-79FE-45F3-BF29-D1FC0F95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33B6"/>
    <w:pPr>
      <w:spacing w:after="0" w:line="240" w:lineRule="auto"/>
      <w:jc w:val="both"/>
    </w:pPr>
    <w:rPr>
      <w:rFonts w:ascii="Univers (W1)" w:eastAsia="Times New Roman" w:hAnsi="Univers (W1)" w:cs="Times New Roman"/>
      <w:b/>
      <w:sz w:val="20"/>
      <w:szCs w:val="20"/>
    </w:rPr>
  </w:style>
  <w:style w:type="character" w:customStyle="1" w:styleId="BodyTextChar">
    <w:name w:val="Body Text Char"/>
    <w:basedOn w:val="DefaultParagraphFont"/>
    <w:link w:val="BodyText"/>
    <w:rsid w:val="00BD33B6"/>
    <w:rPr>
      <w:rFonts w:ascii="Univers (W1)" w:eastAsia="Times New Roman" w:hAnsi="Univers (W1)" w:cs="Times New Roman"/>
      <w:b/>
      <w:sz w:val="20"/>
      <w:szCs w:val="20"/>
    </w:rPr>
  </w:style>
  <w:style w:type="paragraph" w:styleId="BodyText2">
    <w:name w:val="Body Text 2"/>
    <w:basedOn w:val="Normal"/>
    <w:link w:val="BodyText2Char"/>
    <w:uiPriority w:val="99"/>
    <w:semiHidden/>
    <w:unhideWhenUsed/>
    <w:rsid w:val="00BD33B6"/>
    <w:pPr>
      <w:spacing w:after="120" w:line="480" w:lineRule="auto"/>
    </w:pPr>
  </w:style>
  <w:style w:type="character" w:customStyle="1" w:styleId="BodyText2Char">
    <w:name w:val="Body Text 2 Char"/>
    <w:basedOn w:val="DefaultParagraphFont"/>
    <w:link w:val="BodyText2"/>
    <w:uiPriority w:val="99"/>
    <w:semiHidden/>
    <w:rsid w:val="00BD33B6"/>
  </w:style>
  <w:style w:type="paragraph" w:styleId="Title">
    <w:name w:val="Title"/>
    <w:basedOn w:val="Normal"/>
    <w:link w:val="TitleChar"/>
    <w:qFormat/>
    <w:rsid w:val="007925AD"/>
    <w:pPr>
      <w:spacing w:after="0" w:line="240" w:lineRule="auto"/>
      <w:jc w:val="center"/>
    </w:pPr>
    <w:rPr>
      <w:rFonts w:ascii="Univers (W1)" w:eastAsia="Times New Roman" w:hAnsi="Univers (W1)" w:cs="Times New Roman"/>
      <w:b/>
      <w:sz w:val="32"/>
      <w:szCs w:val="20"/>
    </w:rPr>
  </w:style>
  <w:style w:type="character" w:customStyle="1" w:styleId="TitleChar">
    <w:name w:val="Title Char"/>
    <w:basedOn w:val="DefaultParagraphFont"/>
    <w:link w:val="Title"/>
    <w:rsid w:val="007925AD"/>
    <w:rPr>
      <w:rFonts w:ascii="Univers (W1)" w:eastAsia="Times New Roman" w:hAnsi="Univers (W1)" w:cs="Times New Roman"/>
      <w:b/>
      <w:sz w:val="32"/>
      <w:szCs w:val="20"/>
    </w:rPr>
  </w:style>
  <w:style w:type="paragraph" w:styleId="BodyText3">
    <w:name w:val="Body Text 3"/>
    <w:basedOn w:val="Normal"/>
    <w:link w:val="BodyText3Char"/>
    <w:uiPriority w:val="99"/>
    <w:semiHidden/>
    <w:unhideWhenUsed/>
    <w:rsid w:val="009C12DD"/>
    <w:pPr>
      <w:spacing w:after="120"/>
    </w:pPr>
    <w:rPr>
      <w:sz w:val="16"/>
      <w:szCs w:val="16"/>
    </w:rPr>
  </w:style>
  <w:style w:type="character" w:customStyle="1" w:styleId="BodyText3Char">
    <w:name w:val="Body Text 3 Char"/>
    <w:basedOn w:val="DefaultParagraphFont"/>
    <w:link w:val="BodyText3"/>
    <w:uiPriority w:val="99"/>
    <w:semiHidden/>
    <w:rsid w:val="009C12DD"/>
    <w:rPr>
      <w:sz w:val="16"/>
      <w:szCs w:val="16"/>
    </w:rPr>
  </w:style>
  <w:style w:type="table" w:styleId="TableGrid">
    <w:name w:val="Table Grid"/>
    <w:basedOn w:val="TableNormal"/>
    <w:uiPriority w:val="39"/>
    <w:rsid w:val="009C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3964">
      <w:bodyDiv w:val="1"/>
      <w:marLeft w:val="0"/>
      <w:marRight w:val="0"/>
      <w:marTop w:val="0"/>
      <w:marBottom w:val="0"/>
      <w:divBdr>
        <w:top w:val="none" w:sz="0" w:space="0" w:color="auto"/>
        <w:left w:val="none" w:sz="0" w:space="0" w:color="auto"/>
        <w:bottom w:val="none" w:sz="0" w:space="0" w:color="auto"/>
        <w:right w:val="none" w:sz="0" w:space="0" w:color="auto"/>
      </w:divBdr>
    </w:div>
    <w:div w:id="694229129">
      <w:bodyDiv w:val="1"/>
      <w:marLeft w:val="0"/>
      <w:marRight w:val="0"/>
      <w:marTop w:val="0"/>
      <w:marBottom w:val="0"/>
      <w:divBdr>
        <w:top w:val="none" w:sz="0" w:space="0" w:color="auto"/>
        <w:left w:val="none" w:sz="0" w:space="0" w:color="auto"/>
        <w:bottom w:val="none" w:sz="0" w:space="0" w:color="auto"/>
        <w:right w:val="none" w:sz="0" w:space="0" w:color="auto"/>
      </w:divBdr>
    </w:div>
    <w:div w:id="21394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Garms</dc:creator>
  <cp:keywords/>
  <dc:description/>
  <cp:lastModifiedBy>Kelly Howard</cp:lastModifiedBy>
  <cp:revision>2</cp:revision>
  <dcterms:created xsi:type="dcterms:W3CDTF">2021-09-29T16:31:00Z</dcterms:created>
  <dcterms:modified xsi:type="dcterms:W3CDTF">2021-09-29T16:31:00Z</dcterms:modified>
</cp:coreProperties>
</file>